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A660D" w14:textId="77777777" w:rsidR="0033397A" w:rsidRPr="0033397A" w:rsidRDefault="0033397A" w:rsidP="0033397A">
      <w:pPr>
        <w:spacing w:line="256" w:lineRule="auto"/>
        <w:jc w:val="center"/>
        <w:rPr>
          <w:rFonts w:ascii="Times New Roman" w:eastAsia="Aptos" w:hAnsi="Times New Roman" w:cs="Times New Roman"/>
          <w:b/>
          <w:bCs/>
        </w:rPr>
      </w:pPr>
      <w:r w:rsidRPr="0033397A">
        <w:rPr>
          <w:rFonts w:ascii="Times New Roman" w:eastAsia="Aptos" w:hAnsi="Times New Roman" w:cs="Times New Roman"/>
          <w:b/>
          <w:bCs/>
        </w:rPr>
        <w:t>ASCC Themes Subcommittee 1</w:t>
      </w:r>
    </w:p>
    <w:p w14:paraId="5FA9DDB5" w14:textId="6C3419D0" w:rsidR="0033397A" w:rsidRPr="0033397A" w:rsidRDefault="001B5266" w:rsidP="0033397A">
      <w:pPr>
        <w:spacing w:line="256" w:lineRule="auto"/>
        <w:jc w:val="center"/>
        <w:rPr>
          <w:rFonts w:ascii="Times New Roman" w:eastAsia="Aptos" w:hAnsi="Times New Roman" w:cs="Times New Roman"/>
        </w:rPr>
      </w:pPr>
      <w:r>
        <w:rPr>
          <w:rFonts w:ascii="Times New Roman" w:eastAsia="Aptos" w:hAnsi="Times New Roman" w:cs="Times New Roman"/>
        </w:rPr>
        <w:t>Unapproved</w:t>
      </w:r>
      <w:r w:rsidR="0033397A" w:rsidRPr="0033397A">
        <w:rPr>
          <w:rFonts w:ascii="Times New Roman" w:eastAsia="Aptos" w:hAnsi="Times New Roman" w:cs="Times New Roman"/>
        </w:rPr>
        <w:t xml:space="preserve"> Minutes</w:t>
      </w:r>
    </w:p>
    <w:p w14:paraId="4180FDB3" w14:textId="77777777" w:rsidR="0033397A" w:rsidRPr="0033397A" w:rsidRDefault="0033397A" w:rsidP="0033397A">
      <w:pPr>
        <w:spacing w:line="256" w:lineRule="auto"/>
        <w:rPr>
          <w:rFonts w:ascii="Times New Roman" w:eastAsia="Aptos" w:hAnsi="Times New Roman" w:cs="Times New Roman"/>
        </w:rPr>
      </w:pPr>
      <w:r w:rsidRPr="0033397A">
        <w:rPr>
          <w:rFonts w:ascii="Times New Roman" w:eastAsia="Aptos" w:hAnsi="Times New Roman" w:cs="Times New Roman"/>
        </w:rPr>
        <w:t>Thursday, December 11</w:t>
      </w:r>
      <w:r w:rsidRPr="0033397A">
        <w:rPr>
          <w:rFonts w:ascii="Times New Roman" w:eastAsia="Aptos" w:hAnsi="Times New Roman" w:cs="Times New Roman"/>
          <w:vertAlign w:val="superscript"/>
        </w:rPr>
        <w:t>th</w:t>
      </w:r>
      <w:r w:rsidRPr="0033397A">
        <w:rPr>
          <w:rFonts w:ascii="Times New Roman" w:eastAsia="Aptos" w:hAnsi="Times New Roman" w:cs="Times New Roman"/>
        </w:rPr>
        <w:t>, 2025</w:t>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t xml:space="preserve">      3:00PM – 4:30PM</w:t>
      </w:r>
    </w:p>
    <w:p w14:paraId="3B970B51" w14:textId="56C41608" w:rsidR="0033397A" w:rsidRPr="0033397A" w:rsidRDefault="0033397A" w:rsidP="0033397A">
      <w:pPr>
        <w:spacing w:line="256" w:lineRule="auto"/>
        <w:rPr>
          <w:rFonts w:ascii="Times New Roman" w:eastAsia="Aptos" w:hAnsi="Times New Roman" w:cs="Times New Roman"/>
        </w:rPr>
      </w:pPr>
      <w:r w:rsidRPr="0033397A">
        <w:rPr>
          <w:rFonts w:ascii="Times New Roman" w:eastAsia="Aptos" w:hAnsi="Times New Roman" w:cs="Times New Roman"/>
        </w:rPr>
        <w:t>Hagerty Hall 255</w:t>
      </w:r>
      <w:r w:rsidRPr="0033397A">
        <w:rPr>
          <w:rFonts w:ascii="Times New Roman" w:eastAsia="Aptos" w:hAnsi="Times New Roman" w:cs="Times New Roman"/>
        </w:rPr>
        <w:tab/>
      </w:r>
      <w:r w:rsidRPr="0033397A">
        <w:rPr>
          <w:rFonts w:ascii="Times New Roman" w:eastAsia="Aptos" w:hAnsi="Times New Roman" w:cs="Times New Roman"/>
        </w:rPr>
        <w:tab/>
      </w:r>
      <w:r w:rsidRPr="0033397A">
        <w:rPr>
          <w:rFonts w:ascii="Times New Roman" w:eastAsia="Aptos" w:hAnsi="Times New Roman" w:cs="Times New Roman"/>
        </w:rPr>
        <w:tab/>
        <w:t xml:space="preserve">   </w:t>
      </w:r>
    </w:p>
    <w:p w14:paraId="518AD758" w14:textId="01D47B00" w:rsidR="0033397A" w:rsidRPr="0033397A" w:rsidRDefault="0033397A" w:rsidP="0033397A">
      <w:pPr>
        <w:spacing w:line="256" w:lineRule="auto"/>
        <w:rPr>
          <w:rFonts w:ascii="Times New Roman" w:eastAsia="Aptos" w:hAnsi="Times New Roman" w:cs="Times New Roman"/>
        </w:rPr>
      </w:pPr>
      <w:r w:rsidRPr="0033397A">
        <w:rPr>
          <w:rFonts w:ascii="Times New Roman" w:eastAsia="Aptos" w:hAnsi="Times New Roman" w:cs="Times New Roman"/>
          <w:b/>
          <w:bCs/>
        </w:rPr>
        <w:t>Attendees</w:t>
      </w:r>
      <w:r w:rsidRPr="0033397A">
        <w:rPr>
          <w:rFonts w:ascii="Times New Roman" w:eastAsia="Aptos" w:hAnsi="Times New Roman" w:cs="Times New Roman"/>
        </w:rPr>
        <w:t>: Andridge, Daly, Herrmann, Nagar, Neff, Ottesen, Patson, Tuxbury-Gleissner, Vankeerbergen</w:t>
      </w:r>
    </w:p>
    <w:p w14:paraId="2414EAA4" w14:textId="299FB20A" w:rsidR="0033397A" w:rsidRPr="0033397A" w:rsidRDefault="0033397A" w:rsidP="0033397A">
      <w:pPr>
        <w:rPr>
          <w:rFonts w:ascii="Times New Roman" w:hAnsi="Times New Roman" w:cs="Times New Roman"/>
        </w:rPr>
      </w:pPr>
      <w:r w:rsidRPr="0033397A">
        <w:rPr>
          <w:rFonts w:ascii="Times New Roman" w:eastAsia="Aptos" w:hAnsi="Times New Roman" w:cs="Times New Roman"/>
          <w:b/>
          <w:bCs/>
          <w:kern w:val="0"/>
          <w14:ligatures w14:val="none"/>
        </w:rPr>
        <w:t>Agenda</w:t>
      </w:r>
    </w:p>
    <w:p w14:paraId="10030B54"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Approval of 11-13-25 minutes</w:t>
      </w:r>
    </w:p>
    <w:p w14:paraId="7BE766E3" w14:textId="107DEBA4" w:rsidR="00A95B10" w:rsidRPr="0033397A" w:rsidRDefault="00951DA5" w:rsidP="00A95B10">
      <w:pPr>
        <w:pStyle w:val="ListParagraph"/>
        <w:numPr>
          <w:ilvl w:val="1"/>
          <w:numId w:val="2"/>
        </w:numPr>
        <w:rPr>
          <w:rFonts w:ascii="Times New Roman" w:hAnsi="Times New Roman" w:cs="Times New Roman"/>
        </w:rPr>
      </w:pPr>
      <w:r w:rsidRPr="0033397A">
        <w:rPr>
          <w:rFonts w:ascii="Times New Roman" w:hAnsi="Times New Roman" w:cs="Times New Roman"/>
        </w:rPr>
        <w:t xml:space="preserve">Patson, Andridge; unanimously approved. </w:t>
      </w:r>
    </w:p>
    <w:p w14:paraId="2C3519DF" w14:textId="555EE424"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Near Eastern Languages and Cultures 3535 (new course requesting GEN Theme: Lived Environments, 4 CH w/ HIP: Research and Creative Inquiry)</w:t>
      </w:r>
    </w:p>
    <w:p w14:paraId="5B65EA2D" w14:textId="565EF33A" w:rsidR="00A95B10" w:rsidRPr="0033397A" w:rsidRDefault="00A95B10" w:rsidP="00951DA5">
      <w:pPr>
        <w:pStyle w:val="ListParagraph"/>
        <w:numPr>
          <w:ilvl w:val="1"/>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The Subcommittee requests clarification on how the five written summaries are scheduled across the semester to ensure that students consistently engage with ELO 1.1</w:t>
      </w:r>
      <w:r w:rsidR="00951DA5" w:rsidRPr="0033397A">
        <w:rPr>
          <w:rFonts w:ascii="Times New Roman" w:hAnsi="Times New Roman" w:cs="Times New Roman"/>
        </w:rPr>
        <w:t xml:space="preserve">. </w:t>
      </w:r>
      <w:r w:rsidRPr="0033397A">
        <w:rPr>
          <w:rFonts w:ascii="Times New Roman" w:hAnsi="Times New Roman" w:cs="Times New Roman"/>
        </w:rPr>
        <w:t xml:space="preserve">While the written summaries are mapped to </w:t>
      </w:r>
      <w:r w:rsidR="00951DA5" w:rsidRPr="0033397A">
        <w:rPr>
          <w:rFonts w:ascii="Times New Roman" w:hAnsi="Times New Roman" w:cs="Times New Roman"/>
        </w:rPr>
        <w:t>the ELO</w:t>
      </w:r>
      <w:r w:rsidRPr="0033397A">
        <w:rPr>
          <w:rFonts w:ascii="Times New Roman" w:hAnsi="Times New Roman" w:cs="Times New Roman"/>
        </w:rPr>
        <w:t>, it</w:t>
      </w:r>
      <w:r w:rsidR="00951DA5" w:rsidRPr="0033397A">
        <w:rPr>
          <w:rFonts w:ascii="Times New Roman" w:hAnsi="Times New Roman" w:cs="Times New Roman"/>
        </w:rPr>
        <w:t xml:space="preserve"> is</w:t>
      </w:r>
      <w:r w:rsidRPr="0033397A">
        <w:rPr>
          <w:rFonts w:ascii="Times New Roman" w:hAnsi="Times New Roman" w:cs="Times New Roman"/>
        </w:rPr>
        <w:t xml:space="preserve"> unclear whether these assignments are organized in a way that requires students to address </w:t>
      </w:r>
      <w:r w:rsidR="001C6447">
        <w:rPr>
          <w:rFonts w:ascii="Times New Roman" w:hAnsi="Times New Roman" w:cs="Times New Roman"/>
        </w:rPr>
        <w:t>the</w:t>
      </w:r>
      <w:r w:rsidRPr="0033397A">
        <w:rPr>
          <w:rFonts w:ascii="Times New Roman" w:hAnsi="Times New Roman" w:cs="Times New Roman"/>
        </w:rPr>
        <w:t xml:space="preserve"> ELO throughout the semester</w:t>
      </w:r>
      <w:r w:rsidR="00951DA5" w:rsidRPr="0033397A">
        <w:rPr>
          <w:rFonts w:ascii="Times New Roman" w:hAnsi="Times New Roman" w:cs="Times New Roman"/>
        </w:rPr>
        <w:t>.</w:t>
      </w:r>
    </w:p>
    <w:p w14:paraId="2EE010A8" w14:textId="2109D570" w:rsidR="00A95B10" w:rsidRPr="0033397A" w:rsidRDefault="00951DA5" w:rsidP="00A95B10">
      <w:pPr>
        <w:pStyle w:val="ListParagraph"/>
        <w:numPr>
          <w:ilvl w:val="1"/>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xml:space="preserve">: The Subcommittee requests that the </w:t>
      </w:r>
      <w:r w:rsidR="00C844F7">
        <w:rPr>
          <w:rFonts w:ascii="Times New Roman" w:hAnsi="Times New Roman" w:cs="Times New Roman"/>
        </w:rPr>
        <w:t>g</w:t>
      </w:r>
      <w:r w:rsidRPr="0033397A">
        <w:rPr>
          <w:rFonts w:ascii="Times New Roman" w:hAnsi="Times New Roman" w:cs="Times New Roman"/>
        </w:rPr>
        <w:t xml:space="preserve">oals and ELOs be numbered in the syllabus (e.g., </w:t>
      </w:r>
      <w:r w:rsidR="00C844F7">
        <w:rPr>
          <w:rFonts w:ascii="Times New Roman" w:hAnsi="Times New Roman" w:cs="Times New Roman"/>
        </w:rPr>
        <w:t>g</w:t>
      </w:r>
      <w:r w:rsidRPr="0033397A">
        <w:rPr>
          <w:rFonts w:ascii="Times New Roman" w:hAnsi="Times New Roman" w:cs="Times New Roman"/>
        </w:rPr>
        <w:t>oals 1–4 and ELOs 1.1, 1.2, 2.1, 2.2…), rather than presented as bullet points.</w:t>
      </w:r>
      <w:r w:rsidR="001B5266">
        <w:rPr>
          <w:rFonts w:ascii="Times New Roman" w:hAnsi="Times New Roman" w:cs="Times New Roman"/>
        </w:rPr>
        <w:t xml:space="preserve"> Numbering the goals and ELOs will make it easier to reference and align them with course activities and assessments throughout the syllabus. </w:t>
      </w:r>
      <w:r w:rsidRPr="0033397A">
        <w:rPr>
          <w:rFonts w:ascii="Times New Roman" w:hAnsi="Times New Roman" w:cs="Times New Roman"/>
        </w:rPr>
        <w:t>[Syllabus p. 2]</w:t>
      </w:r>
    </w:p>
    <w:p w14:paraId="08CE02EC" w14:textId="15C01E87" w:rsidR="00EB7425" w:rsidRPr="0033397A" w:rsidRDefault="00EB7425" w:rsidP="00A95B10">
      <w:pPr>
        <w:pStyle w:val="ListParagraph"/>
        <w:numPr>
          <w:ilvl w:val="1"/>
          <w:numId w:val="2"/>
        </w:numPr>
        <w:rPr>
          <w:rFonts w:ascii="Times New Roman" w:hAnsi="Times New Roman" w:cs="Times New Roman"/>
        </w:rPr>
      </w:pPr>
      <w:r w:rsidRPr="0033397A">
        <w:rPr>
          <w:rFonts w:ascii="Times New Roman" w:hAnsi="Times New Roman" w:cs="Times New Roman"/>
        </w:rPr>
        <w:t xml:space="preserve">Ottesen, Andridge; unanimously approved with </w:t>
      </w:r>
      <w:r w:rsidRPr="0033397A">
        <w:rPr>
          <w:rFonts w:ascii="Times New Roman" w:hAnsi="Times New Roman" w:cs="Times New Roman"/>
          <w:b/>
          <w:bCs/>
        </w:rPr>
        <w:t>two contingencies</w:t>
      </w:r>
      <w:r w:rsidRPr="0033397A">
        <w:rPr>
          <w:rFonts w:ascii="Times New Roman" w:hAnsi="Times New Roman" w:cs="Times New Roman"/>
        </w:rPr>
        <w:t xml:space="preserve">. </w:t>
      </w:r>
    </w:p>
    <w:p w14:paraId="7FEA935D" w14:textId="329B94DE" w:rsidR="00951DA5" w:rsidRPr="0033397A" w:rsidRDefault="00951DA5" w:rsidP="00A95B10">
      <w:pPr>
        <w:pStyle w:val="ListParagraph"/>
        <w:numPr>
          <w:ilvl w:val="1"/>
          <w:numId w:val="2"/>
        </w:numPr>
        <w:rPr>
          <w:rFonts w:ascii="Times New Roman" w:hAnsi="Times New Roman" w:cs="Times New Roman"/>
        </w:rPr>
      </w:pPr>
      <w:r w:rsidRPr="0033397A">
        <w:rPr>
          <w:rFonts w:ascii="Times New Roman" w:hAnsi="Times New Roman" w:cs="Times New Roman"/>
        </w:rPr>
        <w:t>High-Impact Practice</w:t>
      </w:r>
    </w:p>
    <w:p w14:paraId="50C8DC3D" w14:textId="75225226" w:rsidR="00EB7425" w:rsidRPr="0033397A" w:rsidRDefault="00EB7425" w:rsidP="00EB7425">
      <w:pPr>
        <w:pStyle w:val="ListParagraph"/>
        <w:numPr>
          <w:ilvl w:val="2"/>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xml:space="preserve">: The Subcommittee requests that the demonstration of competency for the Research and Creative Inquiry HIP extend beyond the classroom. To align with the expectations of </w:t>
      </w:r>
      <w:r w:rsidR="004F72D6">
        <w:rPr>
          <w:rFonts w:ascii="Times New Roman" w:hAnsi="Times New Roman" w:cs="Times New Roman"/>
        </w:rPr>
        <w:t xml:space="preserve">the Research and Creative Inquiry </w:t>
      </w:r>
      <w:r w:rsidRPr="0033397A">
        <w:rPr>
          <w:rFonts w:ascii="Times New Roman" w:hAnsi="Times New Roman" w:cs="Times New Roman"/>
        </w:rPr>
        <w:t xml:space="preserve">High-Impact Practice, this component should be public-facing and foster community engagement, including opportunities for feedback and the exchange of ideas. The goal is to create an experience that goes beyond a traditional research project and engages a broader audience. </w:t>
      </w:r>
    </w:p>
    <w:p w14:paraId="587A7EAD" w14:textId="53682867" w:rsidR="00951DA5" w:rsidRPr="0033397A" w:rsidRDefault="00EB7425" w:rsidP="00EB7425">
      <w:pPr>
        <w:pStyle w:val="ListParagraph"/>
        <w:numPr>
          <w:ilvl w:val="2"/>
          <w:numId w:val="2"/>
        </w:numPr>
        <w:rPr>
          <w:rFonts w:ascii="Times New Roman" w:hAnsi="Times New Roman" w:cs="Times New Roman"/>
        </w:rPr>
      </w:pPr>
      <w:r w:rsidRPr="0033397A">
        <w:rPr>
          <w:rFonts w:ascii="Times New Roman" w:hAnsi="Times New Roman" w:cs="Times New Roman"/>
        </w:rPr>
        <w:t xml:space="preserve">Patson, Ottesen; unanimously approved with </w:t>
      </w:r>
      <w:r w:rsidRPr="0033397A">
        <w:rPr>
          <w:rFonts w:ascii="Times New Roman" w:hAnsi="Times New Roman" w:cs="Times New Roman"/>
          <w:b/>
          <w:bCs/>
        </w:rPr>
        <w:t>one contingency</w:t>
      </w:r>
      <w:r w:rsidRPr="0033397A">
        <w:rPr>
          <w:rFonts w:ascii="Times New Roman" w:hAnsi="Times New Roman" w:cs="Times New Roman"/>
        </w:rPr>
        <w:t xml:space="preserve">. </w:t>
      </w:r>
    </w:p>
    <w:p w14:paraId="3A33F006"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AAAS/Music 3460 (new cross-listed courses requesting GEN Theme: Traditions, Cultures, and Transformations)</w:t>
      </w:r>
    </w:p>
    <w:p w14:paraId="58605656" w14:textId="143A94F1" w:rsidR="007218C8" w:rsidRPr="0033397A" w:rsidRDefault="007218C8" w:rsidP="00A95B10">
      <w:pPr>
        <w:pStyle w:val="ListParagraph"/>
        <w:numPr>
          <w:ilvl w:val="1"/>
          <w:numId w:val="2"/>
        </w:numPr>
        <w:rPr>
          <w:rFonts w:ascii="Times New Roman" w:hAnsi="Times New Roman" w:cs="Times New Roman"/>
        </w:rPr>
      </w:pPr>
      <w:r w:rsidRPr="0033397A">
        <w:rPr>
          <w:rFonts w:ascii="Times New Roman" w:hAnsi="Times New Roman" w:cs="Times New Roman"/>
        </w:rPr>
        <w:t>Comment: The Subcommittee commends the units on the innovat</w:t>
      </w:r>
      <w:r w:rsidR="006A23EA">
        <w:rPr>
          <w:rFonts w:ascii="Times New Roman" w:hAnsi="Times New Roman" w:cs="Times New Roman"/>
        </w:rPr>
        <w:t xml:space="preserve">ive </w:t>
      </w:r>
      <w:r w:rsidRPr="0033397A">
        <w:rPr>
          <w:rFonts w:ascii="Times New Roman" w:hAnsi="Times New Roman" w:cs="Times New Roman"/>
        </w:rPr>
        <w:t xml:space="preserve">assignments and overall strength of the course design. </w:t>
      </w:r>
    </w:p>
    <w:p w14:paraId="6400C38B" w14:textId="10AF5FC0" w:rsidR="00A95B10" w:rsidRDefault="0025419A" w:rsidP="00A95B10">
      <w:pPr>
        <w:pStyle w:val="ListParagraph"/>
        <w:numPr>
          <w:ilvl w:val="1"/>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The Subcommittee requests that the course</w:t>
      </w:r>
      <w:r w:rsidR="00861CDB">
        <w:rPr>
          <w:rFonts w:ascii="Times New Roman" w:hAnsi="Times New Roman" w:cs="Times New Roman"/>
        </w:rPr>
        <w:t>s</w:t>
      </w:r>
      <w:r w:rsidRPr="0033397A">
        <w:rPr>
          <w:rFonts w:ascii="Times New Roman" w:hAnsi="Times New Roman" w:cs="Times New Roman"/>
        </w:rPr>
        <w:t xml:space="preserve"> demonstrate a clearer and more intentional alignment with </w:t>
      </w:r>
      <w:r w:rsidR="00BC4F7C" w:rsidRPr="0033397A">
        <w:rPr>
          <w:rFonts w:ascii="Times New Roman" w:hAnsi="Times New Roman" w:cs="Times New Roman"/>
        </w:rPr>
        <w:t xml:space="preserve">the Theme. Specifically, the </w:t>
      </w:r>
      <w:r w:rsidR="00BC4F7C" w:rsidRPr="0033397A">
        <w:rPr>
          <w:rFonts w:ascii="Times New Roman" w:hAnsi="Times New Roman" w:cs="Times New Roman"/>
        </w:rPr>
        <w:lastRenderedPageBreak/>
        <w:t>Subcommittee asks that this connection be articulated more directly in the course</w:t>
      </w:r>
      <w:r w:rsidR="000D6125">
        <w:rPr>
          <w:rFonts w:ascii="Times New Roman" w:hAnsi="Times New Roman" w:cs="Times New Roman"/>
        </w:rPr>
        <w:t xml:space="preserve"> description</w:t>
      </w:r>
      <w:r w:rsidR="00BC4F7C" w:rsidRPr="0033397A">
        <w:rPr>
          <w:rFonts w:ascii="Times New Roman" w:hAnsi="Times New Roman" w:cs="Times New Roman"/>
        </w:rPr>
        <w:t xml:space="preserve"> </w:t>
      </w:r>
      <w:r w:rsidR="001B5266">
        <w:rPr>
          <w:rFonts w:ascii="Times New Roman" w:hAnsi="Times New Roman" w:cs="Times New Roman"/>
        </w:rPr>
        <w:t>in the syllab</w:t>
      </w:r>
      <w:r w:rsidR="00861CDB">
        <w:rPr>
          <w:rFonts w:ascii="Times New Roman" w:hAnsi="Times New Roman" w:cs="Times New Roman"/>
        </w:rPr>
        <w:t>i</w:t>
      </w:r>
      <w:r w:rsidR="001B5266">
        <w:rPr>
          <w:rFonts w:ascii="Times New Roman" w:hAnsi="Times New Roman" w:cs="Times New Roman"/>
        </w:rPr>
        <w:t xml:space="preserve"> and curriculum.osu.edu as well as the</w:t>
      </w:r>
      <w:r w:rsidR="00BC4F7C" w:rsidRPr="0033397A">
        <w:rPr>
          <w:rFonts w:ascii="Times New Roman" w:hAnsi="Times New Roman" w:cs="Times New Roman"/>
        </w:rPr>
        <w:t xml:space="preserve"> assignment descriptions</w:t>
      </w:r>
      <w:r w:rsidR="001B5266">
        <w:rPr>
          <w:rFonts w:ascii="Times New Roman" w:hAnsi="Times New Roman" w:cs="Times New Roman"/>
        </w:rPr>
        <w:t xml:space="preserve"> in the syllab</w:t>
      </w:r>
      <w:r w:rsidR="00861CDB">
        <w:rPr>
          <w:rFonts w:ascii="Times New Roman" w:hAnsi="Times New Roman" w:cs="Times New Roman"/>
        </w:rPr>
        <w:t>i</w:t>
      </w:r>
      <w:r w:rsidR="00BC4F7C" w:rsidRPr="0033397A">
        <w:rPr>
          <w:rFonts w:ascii="Times New Roman" w:hAnsi="Times New Roman" w:cs="Times New Roman"/>
        </w:rPr>
        <w:t xml:space="preserve">. Although the assignments are thoughtfully designed, the Subcommittee requests that explicit connections to the Theme be woven throughout by explaining how activities such as the listening party foster engagement with the Theme. </w:t>
      </w:r>
    </w:p>
    <w:p w14:paraId="67DFB37E" w14:textId="32F91494" w:rsidR="00291441" w:rsidRPr="00291441" w:rsidRDefault="00291441" w:rsidP="00291441">
      <w:pPr>
        <w:pStyle w:val="ListParagraph"/>
        <w:numPr>
          <w:ilvl w:val="1"/>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The Subcommittee requests that the course</w:t>
      </w:r>
      <w:r w:rsidR="00861CDB">
        <w:rPr>
          <w:rFonts w:ascii="Times New Roman" w:hAnsi="Times New Roman" w:cs="Times New Roman"/>
        </w:rPr>
        <w:t>s</w:t>
      </w:r>
      <w:r w:rsidRPr="0033397A">
        <w:rPr>
          <w:rFonts w:ascii="Times New Roman" w:hAnsi="Times New Roman" w:cs="Times New Roman"/>
        </w:rPr>
        <w:t xml:space="preserve"> incorporate engagement with scholarly readings </w:t>
      </w:r>
      <w:r>
        <w:rPr>
          <w:rFonts w:ascii="Times New Roman" w:hAnsi="Times New Roman" w:cs="Times New Roman"/>
        </w:rPr>
        <w:t>(</w:t>
      </w:r>
      <w:r w:rsidRPr="0033397A">
        <w:rPr>
          <w:rFonts w:ascii="Times New Roman" w:hAnsi="Times New Roman" w:cs="Times New Roman"/>
        </w:rPr>
        <w:t>such as journal article</w:t>
      </w:r>
      <w:r>
        <w:rPr>
          <w:rFonts w:ascii="Times New Roman" w:hAnsi="Times New Roman" w:cs="Times New Roman"/>
        </w:rPr>
        <w:t>s</w:t>
      </w:r>
      <w:r w:rsidRPr="0033397A">
        <w:rPr>
          <w:rFonts w:ascii="Times New Roman" w:hAnsi="Times New Roman" w:cs="Times New Roman"/>
        </w:rPr>
        <w:t>, book chapters, or films</w:t>
      </w:r>
      <w:r>
        <w:rPr>
          <w:rFonts w:ascii="Times New Roman" w:hAnsi="Times New Roman" w:cs="Times New Roman"/>
        </w:rPr>
        <w:t>)</w:t>
      </w:r>
      <w:r w:rsidRPr="0033397A">
        <w:rPr>
          <w:rFonts w:ascii="Times New Roman" w:hAnsi="Times New Roman" w:cs="Times New Roman"/>
        </w:rPr>
        <w:t xml:space="preserve"> alongside the textbook to support alignment with ELO 1.2.</w:t>
      </w:r>
    </w:p>
    <w:p w14:paraId="0ABD31CE" w14:textId="4C4A5A1E" w:rsidR="00BC4F7C" w:rsidRPr="0033397A" w:rsidRDefault="00BC4F7C" w:rsidP="00A95B10">
      <w:pPr>
        <w:pStyle w:val="ListParagraph"/>
        <w:numPr>
          <w:ilvl w:val="1"/>
          <w:numId w:val="2"/>
        </w:numPr>
        <w:rPr>
          <w:rFonts w:ascii="Times New Roman" w:hAnsi="Times New Roman" w:cs="Times New Roman"/>
        </w:rPr>
      </w:pPr>
      <w:r w:rsidRPr="0033397A">
        <w:rPr>
          <w:rFonts w:ascii="Times New Roman" w:hAnsi="Times New Roman" w:cs="Times New Roman"/>
          <w:b/>
          <w:bCs/>
        </w:rPr>
        <w:t>Contingency</w:t>
      </w:r>
      <w:r w:rsidRPr="0033397A">
        <w:rPr>
          <w:rFonts w:ascii="Times New Roman" w:hAnsi="Times New Roman" w:cs="Times New Roman"/>
        </w:rPr>
        <w:t xml:space="preserve">: The Subcommittee requests clarification on how the final project is scaffolded through earlier assignments or instruction. At present, it is unclear where students will </w:t>
      </w:r>
      <w:r w:rsidR="007218C8" w:rsidRPr="0033397A">
        <w:rPr>
          <w:rFonts w:ascii="Times New Roman" w:hAnsi="Times New Roman" w:cs="Times New Roman"/>
        </w:rPr>
        <w:t>acquire</w:t>
      </w:r>
      <w:r w:rsidRPr="0033397A">
        <w:rPr>
          <w:rFonts w:ascii="Times New Roman" w:hAnsi="Times New Roman" w:cs="Times New Roman"/>
        </w:rPr>
        <w:t xml:space="preserve"> the skills necessary to successfully carry out the assignment. </w:t>
      </w:r>
    </w:p>
    <w:p w14:paraId="4FE731DE" w14:textId="179247FE" w:rsidR="007218C8" w:rsidRPr="0033397A" w:rsidRDefault="007218C8" w:rsidP="007218C8">
      <w:pPr>
        <w:pStyle w:val="ListParagraph"/>
        <w:numPr>
          <w:ilvl w:val="1"/>
          <w:numId w:val="2"/>
        </w:numPr>
        <w:rPr>
          <w:rFonts w:ascii="Times New Roman" w:hAnsi="Times New Roman" w:cs="Times New Roman"/>
        </w:rPr>
      </w:pPr>
      <w:r w:rsidRPr="0033397A">
        <w:rPr>
          <w:rFonts w:ascii="Times New Roman" w:hAnsi="Times New Roman" w:cs="Times New Roman"/>
        </w:rPr>
        <w:t xml:space="preserve">Nagar, Patson; unanimously approved with one comment and </w:t>
      </w:r>
      <w:r w:rsidRPr="0033397A">
        <w:rPr>
          <w:rFonts w:ascii="Times New Roman" w:hAnsi="Times New Roman" w:cs="Times New Roman"/>
          <w:b/>
          <w:bCs/>
        </w:rPr>
        <w:t>three contingencies</w:t>
      </w:r>
      <w:r w:rsidRPr="0033397A">
        <w:rPr>
          <w:rFonts w:ascii="Times New Roman" w:hAnsi="Times New Roman" w:cs="Times New Roman"/>
        </w:rPr>
        <w:t xml:space="preserve">. </w:t>
      </w:r>
    </w:p>
    <w:p w14:paraId="758BF170"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Slavic 3380 (new course requesting GEN Theme: Lived Environments)</w:t>
      </w:r>
    </w:p>
    <w:p w14:paraId="0B493CEC" w14:textId="2A610A50" w:rsidR="00A95B10" w:rsidRPr="0033397A" w:rsidRDefault="007218C8" w:rsidP="00A95B10">
      <w:pPr>
        <w:pStyle w:val="ListParagraph"/>
        <w:numPr>
          <w:ilvl w:val="1"/>
          <w:numId w:val="2"/>
        </w:numPr>
        <w:rPr>
          <w:rFonts w:ascii="Times New Roman" w:hAnsi="Times New Roman" w:cs="Times New Roman"/>
        </w:rPr>
      </w:pPr>
      <w:r w:rsidRPr="0033397A">
        <w:rPr>
          <w:rFonts w:ascii="Times New Roman" w:hAnsi="Times New Roman" w:cs="Times New Roman"/>
          <w:i/>
          <w:iCs/>
        </w:rPr>
        <w:t>Recommendation</w:t>
      </w:r>
      <w:r w:rsidRPr="0033397A">
        <w:rPr>
          <w:rFonts w:ascii="Times New Roman" w:hAnsi="Times New Roman" w:cs="Times New Roman"/>
        </w:rPr>
        <w:t>: The Subcommittee notes that the proposed field work project—particularly the component involving interviews with women on the topics outlined in the guide—may involve sensitive conversations for which students may not be adequately prepared. The Subcommittee recommends including clear guidance in the syllabus or rubric to support students in navigating these interaction</w:t>
      </w:r>
      <w:r w:rsidR="00DD178C">
        <w:rPr>
          <w:rFonts w:ascii="Times New Roman" w:hAnsi="Times New Roman" w:cs="Times New Roman"/>
        </w:rPr>
        <w:t>s</w:t>
      </w:r>
      <w:r w:rsidRPr="0033397A">
        <w:rPr>
          <w:rFonts w:ascii="Times New Roman" w:hAnsi="Times New Roman" w:cs="Times New Roman"/>
        </w:rPr>
        <w:t xml:space="preserve"> appropriately. In </w:t>
      </w:r>
      <w:r w:rsidR="00E51AC9" w:rsidRPr="0033397A">
        <w:rPr>
          <w:rFonts w:ascii="Times New Roman" w:hAnsi="Times New Roman" w:cs="Times New Roman"/>
        </w:rPr>
        <w:t>addition,</w:t>
      </w:r>
      <w:r w:rsidRPr="0033397A">
        <w:rPr>
          <w:rFonts w:ascii="Times New Roman" w:hAnsi="Times New Roman" w:cs="Times New Roman"/>
        </w:rPr>
        <w:t xml:space="preserve"> the Subcommittee recommend</w:t>
      </w:r>
      <w:r w:rsidR="00995258">
        <w:rPr>
          <w:rFonts w:ascii="Times New Roman" w:hAnsi="Times New Roman" w:cs="Times New Roman"/>
        </w:rPr>
        <w:t>s</w:t>
      </w:r>
      <w:r w:rsidRPr="0033397A">
        <w:rPr>
          <w:rFonts w:ascii="Times New Roman" w:hAnsi="Times New Roman" w:cs="Times New Roman"/>
        </w:rPr>
        <w:t xml:space="preserve"> requiring students to complete</w:t>
      </w:r>
      <w:r w:rsidR="00E51AC9" w:rsidRPr="0033397A">
        <w:rPr>
          <w:rFonts w:ascii="Times New Roman" w:hAnsi="Times New Roman" w:cs="Times New Roman"/>
        </w:rPr>
        <w:t xml:space="preserve"> CITI Responsible Conduct of Research training that is best suited to the course.  </w:t>
      </w:r>
    </w:p>
    <w:p w14:paraId="643DB03F" w14:textId="68BF5024" w:rsidR="00E51AC9" w:rsidRPr="0033397A" w:rsidRDefault="00E51AC9" w:rsidP="00A95B10">
      <w:pPr>
        <w:pStyle w:val="ListParagraph"/>
        <w:numPr>
          <w:ilvl w:val="1"/>
          <w:numId w:val="2"/>
        </w:numPr>
        <w:rPr>
          <w:rFonts w:ascii="Times New Roman" w:hAnsi="Times New Roman" w:cs="Times New Roman"/>
        </w:rPr>
      </w:pPr>
      <w:r w:rsidRPr="0033397A">
        <w:rPr>
          <w:rFonts w:ascii="Times New Roman" w:hAnsi="Times New Roman" w:cs="Times New Roman"/>
        </w:rPr>
        <w:t>Her</w:t>
      </w:r>
      <w:r w:rsidR="00995258">
        <w:rPr>
          <w:rFonts w:ascii="Times New Roman" w:hAnsi="Times New Roman" w:cs="Times New Roman"/>
        </w:rPr>
        <w:t>r</w:t>
      </w:r>
      <w:r w:rsidRPr="0033397A">
        <w:rPr>
          <w:rFonts w:ascii="Times New Roman" w:hAnsi="Times New Roman" w:cs="Times New Roman"/>
        </w:rPr>
        <w:t xml:space="preserve">mann, Nagar; approved with </w:t>
      </w:r>
      <w:r w:rsidR="00995258">
        <w:rPr>
          <w:rFonts w:ascii="Times New Roman" w:hAnsi="Times New Roman" w:cs="Times New Roman"/>
          <w:i/>
          <w:iCs/>
        </w:rPr>
        <w:t xml:space="preserve">one recommendation </w:t>
      </w:r>
      <w:r w:rsidR="00995258">
        <w:rPr>
          <w:rFonts w:ascii="Times New Roman" w:hAnsi="Times New Roman" w:cs="Times New Roman"/>
        </w:rPr>
        <w:t xml:space="preserve">and </w:t>
      </w:r>
      <w:r w:rsidRPr="0033397A">
        <w:rPr>
          <w:rFonts w:ascii="Times New Roman" w:hAnsi="Times New Roman" w:cs="Times New Roman"/>
        </w:rPr>
        <w:t xml:space="preserve">one abstention. </w:t>
      </w:r>
    </w:p>
    <w:p w14:paraId="14BA5F09"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Modern Greek 3710 (existing course with GEL Literature, GEL Diversity—Global Studies, and </w:t>
      </w:r>
      <w:bookmarkStart w:id="0" w:name="x_x_x_x__Hlk215747653"/>
      <w:bookmarkEnd w:id="0"/>
      <w:r w:rsidRPr="0033397A">
        <w:rPr>
          <w:rFonts w:ascii="Times New Roman" w:hAnsi="Times New Roman" w:cs="Times New Roman"/>
        </w:rPr>
        <w:t>GEN Foundation LVPA; request to remove GEN Foundation LVPA and replace with GEN Theme Traditions, Cultures, and Transformations)</w:t>
      </w:r>
    </w:p>
    <w:p w14:paraId="7FEB30FD" w14:textId="77777777" w:rsidR="00E51AC9" w:rsidRPr="0033397A" w:rsidRDefault="00E51AC9" w:rsidP="00A95B10">
      <w:pPr>
        <w:pStyle w:val="ListParagraph"/>
        <w:numPr>
          <w:ilvl w:val="1"/>
          <w:numId w:val="2"/>
        </w:numPr>
        <w:rPr>
          <w:rFonts w:ascii="Times New Roman" w:hAnsi="Times New Roman" w:cs="Times New Roman"/>
        </w:rPr>
      </w:pPr>
      <w:r w:rsidRPr="0033397A">
        <w:rPr>
          <w:rFonts w:ascii="Times New Roman" w:hAnsi="Times New Roman" w:cs="Times New Roman"/>
        </w:rPr>
        <w:t xml:space="preserve">The Subcommittee recognizes that the central idea linking the course to the Theme appears to be an exploration of national literature and identity. However, this connection is not made explicit in the course materials, and a GE audience may not readily discern how the course aligns with the Theme. The Subcommittee requests that the unit articulate the course’s connection to the Theme more clearly and explicitly. </w:t>
      </w:r>
    </w:p>
    <w:p w14:paraId="4F7E568E" w14:textId="56B7DBA7" w:rsidR="00A95B10" w:rsidRPr="0033397A" w:rsidRDefault="00E51AC9" w:rsidP="00A95B10">
      <w:pPr>
        <w:pStyle w:val="ListParagraph"/>
        <w:numPr>
          <w:ilvl w:val="1"/>
          <w:numId w:val="2"/>
        </w:numPr>
        <w:rPr>
          <w:rFonts w:ascii="Times New Roman" w:hAnsi="Times New Roman" w:cs="Times New Roman"/>
        </w:rPr>
      </w:pPr>
      <w:r w:rsidRPr="0033397A">
        <w:rPr>
          <w:rFonts w:ascii="Times New Roman" w:hAnsi="Times New Roman" w:cs="Times New Roman"/>
        </w:rPr>
        <w:t>The Subcommittee requests that the Theme be more intentionally woven throughout the course</w:t>
      </w:r>
      <w:r w:rsidR="008D3719" w:rsidRPr="0033397A">
        <w:rPr>
          <w:rFonts w:ascii="Times New Roman" w:hAnsi="Times New Roman" w:cs="Times New Roman"/>
        </w:rPr>
        <w:t xml:space="preserve"> by</w:t>
      </w:r>
      <w:r w:rsidRPr="0033397A">
        <w:rPr>
          <w:rFonts w:ascii="Times New Roman" w:hAnsi="Times New Roman" w:cs="Times New Roman"/>
        </w:rPr>
        <w:t>:</w:t>
      </w:r>
    </w:p>
    <w:p w14:paraId="58B67219" w14:textId="400F308E" w:rsidR="00E51AC9" w:rsidRPr="0033397A" w:rsidRDefault="00E51AC9" w:rsidP="00E51AC9">
      <w:pPr>
        <w:pStyle w:val="ListParagraph"/>
        <w:numPr>
          <w:ilvl w:val="2"/>
          <w:numId w:val="2"/>
        </w:numPr>
        <w:rPr>
          <w:rFonts w:ascii="Times New Roman" w:hAnsi="Times New Roman" w:cs="Times New Roman"/>
        </w:rPr>
      </w:pPr>
      <w:r w:rsidRPr="0033397A">
        <w:rPr>
          <w:rFonts w:ascii="Times New Roman" w:hAnsi="Times New Roman" w:cs="Times New Roman"/>
        </w:rPr>
        <w:t xml:space="preserve">Incorporating </w:t>
      </w:r>
      <w:r w:rsidR="001E0617">
        <w:rPr>
          <w:rFonts w:ascii="Times New Roman" w:hAnsi="Times New Roman" w:cs="Times New Roman"/>
        </w:rPr>
        <w:t xml:space="preserve">relevant </w:t>
      </w:r>
      <w:r w:rsidRPr="0033397A">
        <w:rPr>
          <w:rFonts w:ascii="Times New Roman" w:hAnsi="Times New Roman" w:cs="Times New Roman"/>
        </w:rPr>
        <w:t>secondary or scholarly texts</w:t>
      </w:r>
      <w:r w:rsidR="00752A7D">
        <w:rPr>
          <w:rFonts w:ascii="Times New Roman" w:hAnsi="Times New Roman" w:cs="Times New Roman"/>
        </w:rPr>
        <w:t>. (ELO 1.2)</w:t>
      </w:r>
    </w:p>
    <w:p w14:paraId="47D7ED37" w14:textId="0D71E6B9" w:rsidR="00E51AC9" w:rsidRPr="0033397A" w:rsidRDefault="00E51AC9" w:rsidP="00E51AC9">
      <w:pPr>
        <w:pStyle w:val="ListParagraph"/>
        <w:numPr>
          <w:ilvl w:val="2"/>
          <w:numId w:val="2"/>
        </w:numPr>
        <w:rPr>
          <w:rFonts w:ascii="Times New Roman" w:hAnsi="Times New Roman" w:cs="Times New Roman"/>
        </w:rPr>
      </w:pPr>
      <w:r w:rsidRPr="0033397A">
        <w:rPr>
          <w:rFonts w:ascii="Times New Roman" w:hAnsi="Times New Roman" w:cs="Times New Roman"/>
        </w:rPr>
        <w:t xml:space="preserve">Clarifying how graded assignments (as opposed to discussion activities alone) address the Theme </w:t>
      </w:r>
      <w:r w:rsidR="00C844F7">
        <w:rPr>
          <w:rFonts w:ascii="Times New Roman" w:hAnsi="Times New Roman" w:cs="Times New Roman"/>
        </w:rPr>
        <w:t>g</w:t>
      </w:r>
      <w:r w:rsidRPr="0033397A">
        <w:rPr>
          <w:rFonts w:ascii="Times New Roman" w:hAnsi="Times New Roman" w:cs="Times New Roman"/>
        </w:rPr>
        <w:t xml:space="preserve">oals and ELOs. </w:t>
      </w:r>
    </w:p>
    <w:p w14:paraId="3CA7087B" w14:textId="73B5DD66" w:rsidR="00E51AC9" w:rsidRPr="0033397A" w:rsidRDefault="00F25701" w:rsidP="00F25701">
      <w:pPr>
        <w:pStyle w:val="ListParagraph"/>
        <w:numPr>
          <w:ilvl w:val="2"/>
          <w:numId w:val="2"/>
        </w:numPr>
        <w:rPr>
          <w:rFonts w:ascii="Times New Roman" w:hAnsi="Times New Roman" w:cs="Times New Roman"/>
        </w:rPr>
      </w:pPr>
      <w:r>
        <w:rPr>
          <w:rFonts w:ascii="Times New Roman" w:hAnsi="Times New Roman" w:cs="Times New Roman"/>
        </w:rPr>
        <w:lastRenderedPageBreak/>
        <w:t>Including</w:t>
      </w:r>
      <w:r w:rsidR="008D3719" w:rsidRPr="0033397A">
        <w:rPr>
          <w:rFonts w:ascii="Times New Roman" w:hAnsi="Times New Roman" w:cs="Times New Roman"/>
        </w:rPr>
        <w:t xml:space="preserve"> a graded reflection component that supports sustained engagement with the Theme</w:t>
      </w:r>
      <w:r w:rsidR="00B319D5">
        <w:rPr>
          <w:rFonts w:ascii="Times New Roman" w:hAnsi="Times New Roman" w:cs="Times New Roman"/>
        </w:rPr>
        <w:t xml:space="preserve"> and ELO 2.2</w:t>
      </w:r>
      <w:r w:rsidR="001B5266">
        <w:rPr>
          <w:rFonts w:ascii="Times New Roman" w:hAnsi="Times New Roman" w:cs="Times New Roman"/>
        </w:rPr>
        <w:t xml:space="preserve">, </w:t>
      </w:r>
      <w:r w:rsidR="001B5266" w:rsidRPr="001B5266">
        <w:rPr>
          <w:rFonts w:ascii="Times New Roman" w:hAnsi="Times New Roman" w:cs="Times New Roman"/>
        </w:rPr>
        <w:t>which focuses on students’ metacognitive reflection on their own learning processes and their developing sense of themselves as learners</w:t>
      </w:r>
      <w:r w:rsidR="008D3719" w:rsidRPr="0033397A">
        <w:rPr>
          <w:rFonts w:ascii="Times New Roman" w:hAnsi="Times New Roman" w:cs="Times New Roman"/>
        </w:rPr>
        <w:t>. Possible approache</w:t>
      </w:r>
      <w:r w:rsidR="000F11A7">
        <w:rPr>
          <w:rFonts w:ascii="Times New Roman" w:hAnsi="Times New Roman" w:cs="Times New Roman"/>
        </w:rPr>
        <w:t>s</w:t>
      </w:r>
      <w:r w:rsidR="008D3719" w:rsidRPr="0033397A">
        <w:rPr>
          <w:rFonts w:ascii="Times New Roman" w:hAnsi="Times New Roman" w:cs="Times New Roman"/>
        </w:rPr>
        <w:t xml:space="preserve"> include recurring reading journal</w:t>
      </w:r>
      <w:r w:rsidR="001B5266">
        <w:rPr>
          <w:rFonts w:ascii="Times New Roman" w:hAnsi="Times New Roman" w:cs="Times New Roman"/>
        </w:rPr>
        <w:t>s</w:t>
      </w:r>
      <w:r w:rsidR="008D3719" w:rsidRPr="0033397A">
        <w:rPr>
          <w:rFonts w:ascii="Times New Roman" w:hAnsi="Times New Roman" w:cs="Times New Roman"/>
        </w:rPr>
        <w:t>, short reflective essays, or reflective components tied to paper revisions that ask students to articulate what they have learned</w:t>
      </w:r>
      <w:r w:rsidR="001B5266">
        <w:rPr>
          <w:rFonts w:ascii="Times New Roman" w:hAnsi="Times New Roman" w:cs="Times New Roman"/>
        </w:rPr>
        <w:t xml:space="preserve"> and how their learning has evolved.</w:t>
      </w:r>
    </w:p>
    <w:p w14:paraId="5C1A5A29" w14:textId="0CF43503" w:rsidR="008D3719" w:rsidRPr="0033397A" w:rsidRDefault="008D3719" w:rsidP="008D3719">
      <w:pPr>
        <w:pStyle w:val="ListParagraph"/>
        <w:numPr>
          <w:ilvl w:val="1"/>
          <w:numId w:val="2"/>
        </w:numPr>
        <w:rPr>
          <w:rFonts w:ascii="Times New Roman" w:hAnsi="Times New Roman" w:cs="Times New Roman"/>
        </w:rPr>
      </w:pPr>
      <w:r w:rsidRPr="0033397A">
        <w:rPr>
          <w:rFonts w:ascii="Times New Roman" w:hAnsi="Times New Roman" w:cs="Times New Roman"/>
        </w:rPr>
        <w:t>The Subcommittee requests additional detail about the course assignments including the focus of the papers</w:t>
      </w:r>
      <w:r w:rsidR="000F11A7">
        <w:rPr>
          <w:rFonts w:ascii="Times New Roman" w:hAnsi="Times New Roman" w:cs="Times New Roman"/>
        </w:rPr>
        <w:t xml:space="preserve"> and </w:t>
      </w:r>
      <w:r w:rsidRPr="0033397A">
        <w:rPr>
          <w:rFonts w:ascii="Times New Roman" w:hAnsi="Times New Roman" w:cs="Times New Roman"/>
        </w:rPr>
        <w:t>expectations for midterm assessments</w:t>
      </w:r>
      <w:r w:rsidR="000F11A7">
        <w:rPr>
          <w:rFonts w:ascii="Times New Roman" w:hAnsi="Times New Roman" w:cs="Times New Roman"/>
        </w:rPr>
        <w:t xml:space="preserve">. </w:t>
      </w:r>
      <w:r w:rsidRPr="0033397A">
        <w:rPr>
          <w:rFonts w:ascii="Times New Roman" w:hAnsi="Times New Roman" w:cs="Times New Roman"/>
        </w:rPr>
        <w:t>Greater clarity in these areas could also help make the course</w:t>
      </w:r>
      <w:r w:rsidR="00EB4EDA">
        <w:rPr>
          <w:rFonts w:ascii="Times New Roman" w:hAnsi="Times New Roman" w:cs="Times New Roman"/>
        </w:rPr>
        <w:t>’</w:t>
      </w:r>
      <w:r w:rsidRPr="0033397A">
        <w:rPr>
          <w:rFonts w:ascii="Times New Roman" w:hAnsi="Times New Roman" w:cs="Times New Roman"/>
        </w:rPr>
        <w:t xml:space="preserve">s central idea and alignment with the Theme more apparent. </w:t>
      </w:r>
    </w:p>
    <w:p w14:paraId="0CF86C7F" w14:textId="089DF84D" w:rsidR="008D3719" w:rsidRPr="0033397A" w:rsidRDefault="008D3719" w:rsidP="008D3719">
      <w:pPr>
        <w:pStyle w:val="ListParagraph"/>
        <w:numPr>
          <w:ilvl w:val="1"/>
          <w:numId w:val="2"/>
        </w:numPr>
        <w:rPr>
          <w:rFonts w:ascii="Times New Roman" w:hAnsi="Times New Roman" w:cs="Times New Roman"/>
        </w:rPr>
      </w:pPr>
      <w:r w:rsidRPr="0033397A">
        <w:rPr>
          <w:rFonts w:ascii="Times New Roman" w:hAnsi="Times New Roman" w:cs="Times New Roman"/>
        </w:rPr>
        <w:t xml:space="preserve">The Subcommittee asks that the department revise the statement in the syllabus (p. 1) describing how this course fits into the new General Education Curriculum. Since this is a 3-credit hour course, it does not, by itself, fulfill the GEN Theme: Traditions, Cultures, and Transformations, which requires 4-6 credit hours. To avoid confusion among students, the Subcommittee suggests phrasing such as “This course is approved in the GEN Theme: </w:t>
      </w:r>
      <w:r w:rsidR="00C74DC0" w:rsidRPr="00C74DC0">
        <w:rPr>
          <w:rFonts w:ascii="Times New Roman" w:hAnsi="Times New Roman" w:cs="Times New Roman"/>
        </w:rPr>
        <w:t xml:space="preserve">Traditions, Cultures, and Transformations </w:t>
      </w:r>
      <w:r w:rsidRPr="0033397A">
        <w:rPr>
          <w:rFonts w:ascii="Times New Roman" w:hAnsi="Times New Roman" w:cs="Times New Roman"/>
        </w:rPr>
        <w:t>category.”</w:t>
      </w:r>
      <w:r w:rsidR="0069516B">
        <w:rPr>
          <w:rFonts w:ascii="Times New Roman" w:hAnsi="Times New Roman" w:cs="Times New Roman"/>
        </w:rPr>
        <w:t xml:space="preserve"> </w:t>
      </w:r>
    </w:p>
    <w:p w14:paraId="5739FC1C" w14:textId="04EDE66E" w:rsidR="008D3719" w:rsidRPr="0033397A" w:rsidRDefault="008D3719" w:rsidP="008D3719">
      <w:pPr>
        <w:pStyle w:val="ListParagraph"/>
        <w:numPr>
          <w:ilvl w:val="1"/>
          <w:numId w:val="2"/>
        </w:numPr>
        <w:rPr>
          <w:rFonts w:ascii="Times New Roman" w:hAnsi="Times New Roman" w:cs="Times New Roman"/>
        </w:rPr>
      </w:pPr>
      <w:r w:rsidRPr="0033397A">
        <w:rPr>
          <w:rFonts w:ascii="Times New Roman" w:hAnsi="Times New Roman" w:cs="Times New Roman"/>
        </w:rPr>
        <w:t xml:space="preserve">Declined to vote. </w:t>
      </w:r>
    </w:p>
    <w:p w14:paraId="642966F6" w14:textId="78FA245C" w:rsidR="00A95B10" w:rsidRPr="0033397A" w:rsidRDefault="00A95B10" w:rsidP="008D3719">
      <w:pPr>
        <w:pStyle w:val="ListParagraph"/>
        <w:numPr>
          <w:ilvl w:val="0"/>
          <w:numId w:val="2"/>
        </w:numPr>
        <w:rPr>
          <w:rFonts w:ascii="Times New Roman" w:hAnsi="Times New Roman" w:cs="Times New Roman"/>
        </w:rPr>
      </w:pPr>
      <w:r w:rsidRPr="0033397A">
        <w:rPr>
          <w:rFonts w:ascii="Times New Roman" w:hAnsi="Times New Roman" w:cs="Times New Roman"/>
        </w:rPr>
        <w:t>Entomology 2400 (new course requesting GEN Theme Health and Wellbeing) (return)</w:t>
      </w:r>
      <w:r w:rsidR="00C74DC0">
        <w:rPr>
          <w:rFonts w:ascii="Times New Roman" w:hAnsi="Times New Roman" w:cs="Times New Roman"/>
        </w:rPr>
        <w:t xml:space="preserve"> </w:t>
      </w:r>
    </w:p>
    <w:p w14:paraId="170EAA44" w14:textId="5EE582B8" w:rsidR="008D3719" w:rsidRPr="0033397A" w:rsidRDefault="008D3719" w:rsidP="008D3719">
      <w:pPr>
        <w:pStyle w:val="ListParagraph"/>
        <w:numPr>
          <w:ilvl w:val="1"/>
          <w:numId w:val="2"/>
        </w:numPr>
        <w:rPr>
          <w:rFonts w:ascii="Times New Roman" w:hAnsi="Times New Roman" w:cs="Times New Roman"/>
        </w:rPr>
      </w:pPr>
      <w:r w:rsidRPr="0033397A">
        <w:rPr>
          <w:rFonts w:ascii="Times New Roman" w:hAnsi="Times New Roman" w:cs="Times New Roman"/>
        </w:rPr>
        <w:t>The Subcommittee remains unconvinced that the course sufficiently addresses the Health and Wellbeing Theme</w:t>
      </w:r>
      <w:r w:rsidR="00EB4EDA">
        <w:rPr>
          <w:rFonts w:ascii="Times New Roman" w:hAnsi="Times New Roman" w:cs="Times New Roman"/>
        </w:rPr>
        <w:t xml:space="preserve"> </w:t>
      </w:r>
      <w:r w:rsidR="00DB6DDD">
        <w:rPr>
          <w:rFonts w:ascii="Times New Roman" w:hAnsi="Times New Roman" w:cs="Times New Roman"/>
        </w:rPr>
        <w:t>g</w:t>
      </w:r>
      <w:r w:rsidR="00EB4EDA">
        <w:rPr>
          <w:rFonts w:ascii="Times New Roman" w:hAnsi="Times New Roman" w:cs="Times New Roman"/>
        </w:rPr>
        <w:t>oals and ELOs</w:t>
      </w:r>
      <w:r w:rsidRPr="0033397A">
        <w:rPr>
          <w:rFonts w:ascii="Times New Roman" w:hAnsi="Times New Roman" w:cs="Times New Roman"/>
        </w:rPr>
        <w:t>.</w:t>
      </w:r>
      <w:r w:rsidR="00543F56" w:rsidRPr="0033397A">
        <w:rPr>
          <w:rFonts w:ascii="Times New Roman" w:hAnsi="Times New Roman" w:cs="Times New Roman"/>
        </w:rPr>
        <w:t xml:space="preserve"> </w:t>
      </w:r>
      <w:r w:rsidR="00EB4EDA">
        <w:rPr>
          <w:rFonts w:ascii="Times New Roman" w:hAnsi="Times New Roman" w:cs="Times New Roman"/>
        </w:rPr>
        <w:t>Although the</w:t>
      </w:r>
      <w:r w:rsidR="00543F56" w:rsidRPr="0033397A">
        <w:rPr>
          <w:rFonts w:ascii="Times New Roman" w:hAnsi="Times New Roman" w:cs="Times New Roman"/>
        </w:rPr>
        <w:t xml:space="preserve"> topics cited in the cover letter (e.g., GMO insects) </w:t>
      </w:r>
      <w:r w:rsidR="00EB4EDA">
        <w:rPr>
          <w:rFonts w:ascii="Times New Roman" w:hAnsi="Times New Roman" w:cs="Times New Roman"/>
        </w:rPr>
        <w:t xml:space="preserve">could be used as lenses through which students examine Health and Wellbeing if more explicitly articulated, they </w:t>
      </w:r>
      <w:r w:rsidR="00543F56" w:rsidRPr="0033397A">
        <w:rPr>
          <w:rFonts w:ascii="Times New Roman" w:hAnsi="Times New Roman" w:cs="Times New Roman"/>
        </w:rPr>
        <w:t>are not inherently aligned with the Theme</w:t>
      </w:r>
      <w:r w:rsidR="00EB4EDA">
        <w:rPr>
          <w:rFonts w:ascii="Times New Roman" w:hAnsi="Times New Roman" w:cs="Times New Roman"/>
        </w:rPr>
        <w:t xml:space="preserve">. </w:t>
      </w:r>
      <w:r w:rsidR="0033397A" w:rsidRPr="0033397A">
        <w:rPr>
          <w:rFonts w:ascii="Times New Roman" w:hAnsi="Times New Roman" w:cs="Times New Roman"/>
        </w:rPr>
        <w:t xml:space="preserve">The Subcommittee requests that the Theme be woven throughout the course topics, materials, and assignments, noting that the inclusion of health-related topics alone does not automatically establish alignment with the Health and Wellbeing Theme. </w:t>
      </w:r>
    </w:p>
    <w:p w14:paraId="494884B6" w14:textId="6E01BD4A" w:rsidR="00543F56" w:rsidRPr="0033397A" w:rsidRDefault="0033397A" w:rsidP="0033397A">
      <w:pPr>
        <w:pStyle w:val="ListParagraph"/>
        <w:numPr>
          <w:ilvl w:val="1"/>
          <w:numId w:val="2"/>
        </w:numPr>
        <w:rPr>
          <w:rFonts w:ascii="Times New Roman" w:hAnsi="Times New Roman" w:cs="Times New Roman"/>
        </w:rPr>
      </w:pPr>
      <w:r w:rsidRPr="0033397A">
        <w:rPr>
          <w:rFonts w:ascii="Times New Roman" w:hAnsi="Times New Roman" w:cs="Times New Roman"/>
        </w:rPr>
        <w:t>The Subcommittee finds that the course content remains largely foundational in scope and requests that the course be developed at a more advanced level overall, with greater</w:t>
      </w:r>
      <w:r w:rsidR="00073FDA">
        <w:rPr>
          <w:rFonts w:ascii="Times New Roman" w:hAnsi="Times New Roman" w:cs="Times New Roman"/>
        </w:rPr>
        <w:t xml:space="preserve"> </w:t>
      </w:r>
      <w:r w:rsidRPr="0033397A">
        <w:rPr>
          <w:rFonts w:ascii="Times New Roman" w:hAnsi="Times New Roman" w:cs="Times New Roman"/>
        </w:rPr>
        <w:t>sustained thematic focus.</w:t>
      </w:r>
    </w:p>
    <w:p w14:paraId="0D38202E" w14:textId="2C9B297D" w:rsidR="00543F56" w:rsidRPr="0033397A" w:rsidRDefault="00543F56" w:rsidP="008D3719">
      <w:pPr>
        <w:pStyle w:val="ListParagraph"/>
        <w:numPr>
          <w:ilvl w:val="1"/>
          <w:numId w:val="2"/>
        </w:numPr>
        <w:rPr>
          <w:rFonts w:ascii="Times New Roman" w:hAnsi="Times New Roman" w:cs="Times New Roman"/>
        </w:rPr>
      </w:pPr>
      <w:r w:rsidRPr="0033397A">
        <w:rPr>
          <w:rFonts w:ascii="Times New Roman" w:hAnsi="Times New Roman" w:cs="Times New Roman"/>
        </w:rPr>
        <w:t xml:space="preserve">The Subcommittee notes that the course, as currently structured, </w:t>
      </w:r>
      <w:r w:rsidR="0033397A" w:rsidRPr="0033397A">
        <w:rPr>
          <w:rFonts w:ascii="Times New Roman" w:hAnsi="Times New Roman" w:cs="Times New Roman"/>
        </w:rPr>
        <w:t>may</w:t>
      </w:r>
      <w:r w:rsidRPr="0033397A">
        <w:rPr>
          <w:rFonts w:ascii="Times New Roman" w:hAnsi="Times New Roman" w:cs="Times New Roman"/>
        </w:rPr>
        <w:t xml:space="preserve"> be better suited </w:t>
      </w:r>
      <w:r w:rsidR="0033397A" w:rsidRPr="0033397A">
        <w:rPr>
          <w:rFonts w:ascii="Times New Roman" w:hAnsi="Times New Roman" w:cs="Times New Roman"/>
        </w:rPr>
        <w:t xml:space="preserve">to a different </w:t>
      </w:r>
      <w:r w:rsidRPr="0033397A">
        <w:rPr>
          <w:rFonts w:ascii="Times New Roman" w:hAnsi="Times New Roman" w:cs="Times New Roman"/>
        </w:rPr>
        <w:t xml:space="preserve">GEN Theme category. Given its emphasis on how scientific developments shape people’s lives, </w:t>
      </w:r>
      <w:r w:rsidR="0033397A" w:rsidRPr="0033397A">
        <w:rPr>
          <w:rFonts w:ascii="Times New Roman" w:hAnsi="Times New Roman" w:cs="Times New Roman"/>
        </w:rPr>
        <w:t>including</w:t>
      </w:r>
      <w:r w:rsidRPr="0033397A">
        <w:rPr>
          <w:rFonts w:ascii="Times New Roman" w:hAnsi="Times New Roman" w:cs="Times New Roman"/>
        </w:rPr>
        <w:t xml:space="preserve"> societal responses to scientific </w:t>
      </w:r>
      <w:r w:rsidR="0033397A" w:rsidRPr="0033397A">
        <w:rPr>
          <w:rFonts w:ascii="Times New Roman" w:hAnsi="Times New Roman" w:cs="Times New Roman"/>
        </w:rPr>
        <w:t>and</w:t>
      </w:r>
      <w:r w:rsidRPr="0033397A">
        <w:rPr>
          <w:rFonts w:ascii="Times New Roman" w:hAnsi="Times New Roman" w:cs="Times New Roman"/>
        </w:rPr>
        <w:t xml:space="preserve"> medical advances</w:t>
      </w:r>
      <w:r w:rsidR="0033397A" w:rsidRPr="0033397A">
        <w:rPr>
          <w:rFonts w:ascii="Times New Roman" w:hAnsi="Times New Roman" w:cs="Times New Roman"/>
        </w:rPr>
        <w:t xml:space="preserve"> and tensions between </w:t>
      </w:r>
      <w:r w:rsidRPr="0033397A">
        <w:rPr>
          <w:rFonts w:ascii="Times New Roman" w:hAnsi="Times New Roman" w:cs="Times New Roman"/>
        </w:rPr>
        <w:t xml:space="preserve">political </w:t>
      </w:r>
      <w:r w:rsidR="0033397A" w:rsidRPr="0033397A">
        <w:rPr>
          <w:rFonts w:ascii="Times New Roman" w:hAnsi="Times New Roman" w:cs="Times New Roman"/>
        </w:rPr>
        <w:t xml:space="preserve">and </w:t>
      </w:r>
      <w:r w:rsidRPr="0033397A">
        <w:rPr>
          <w:rFonts w:ascii="Times New Roman" w:hAnsi="Times New Roman" w:cs="Times New Roman"/>
        </w:rPr>
        <w:t>personal truth</w:t>
      </w:r>
      <w:r w:rsidR="00D634DE">
        <w:rPr>
          <w:rFonts w:ascii="Times New Roman" w:hAnsi="Times New Roman" w:cs="Times New Roman"/>
        </w:rPr>
        <w:t>s</w:t>
      </w:r>
      <w:r w:rsidRPr="0033397A">
        <w:rPr>
          <w:rFonts w:ascii="Times New Roman" w:hAnsi="Times New Roman" w:cs="Times New Roman"/>
        </w:rPr>
        <w:t xml:space="preserve">, the Subcommittee </w:t>
      </w:r>
      <w:r w:rsidR="00D634DE">
        <w:rPr>
          <w:rFonts w:ascii="Times New Roman" w:hAnsi="Times New Roman" w:cs="Times New Roman"/>
        </w:rPr>
        <w:t>encourages</w:t>
      </w:r>
      <w:r w:rsidRPr="0033397A">
        <w:rPr>
          <w:rFonts w:ascii="Times New Roman" w:hAnsi="Times New Roman" w:cs="Times New Roman"/>
        </w:rPr>
        <w:t xml:space="preserve"> the department </w:t>
      </w:r>
      <w:r w:rsidR="00D634DE">
        <w:rPr>
          <w:rFonts w:ascii="Times New Roman" w:hAnsi="Times New Roman" w:cs="Times New Roman"/>
        </w:rPr>
        <w:t xml:space="preserve">to </w:t>
      </w:r>
      <w:r w:rsidRPr="0033397A">
        <w:rPr>
          <w:rFonts w:ascii="Times New Roman" w:hAnsi="Times New Roman" w:cs="Times New Roman"/>
        </w:rPr>
        <w:t xml:space="preserve">consider reworking the course for the Traditions, Cultures, and Transformations Theme. </w:t>
      </w:r>
      <w:r w:rsidR="0018588F">
        <w:rPr>
          <w:rFonts w:ascii="Times New Roman" w:hAnsi="Times New Roman" w:cs="Times New Roman"/>
        </w:rPr>
        <w:t>Since</w:t>
      </w:r>
      <w:r w:rsidRPr="0033397A">
        <w:rPr>
          <w:rFonts w:ascii="Times New Roman" w:hAnsi="Times New Roman" w:cs="Times New Roman"/>
        </w:rPr>
        <w:t xml:space="preserve"> </w:t>
      </w:r>
      <w:r w:rsidR="0018588F">
        <w:rPr>
          <w:rFonts w:ascii="Times New Roman" w:hAnsi="Times New Roman" w:cs="Times New Roman"/>
        </w:rPr>
        <w:t>the course</w:t>
      </w:r>
      <w:r w:rsidRPr="0033397A">
        <w:rPr>
          <w:rFonts w:ascii="Times New Roman" w:hAnsi="Times New Roman" w:cs="Times New Roman"/>
        </w:rPr>
        <w:t xml:space="preserve"> would still require substantial revisions, the Subcommittee requests </w:t>
      </w:r>
      <w:r w:rsidRPr="0033397A">
        <w:rPr>
          <w:rFonts w:ascii="Times New Roman" w:hAnsi="Times New Roman" w:cs="Times New Roman"/>
        </w:rPr>
        <w:lastRenderedPageBreak/>
        <w:t>that the department consult Subcommittee Chair Ila Nagar</w:t>
      </w:r>
      <w:r w:rsidR="00C60335">
        <w:rPr>
          <w:rFonts w:ascii="Times New Roman" w:hAnsi="Times New Roman" w:cs="Times New Roman"/>
        </w:rPr>
        <w:t>.5</w:t>
      </w:r>
      <w:r w:rsidRPr="0033397A">
        <w:rPr>
          <w:rFonts w:ascii="Times New Roman" w:hAnsi="Times New Roman" w:cs="Times New Roman"/>
        </w:rPr>
        <w:t xml:space="preserve"> and </w:t>
      </w:r>
      <w:r w:rsidR="0033397A" w:rsidRPr="0033397A">
        <w:rPr>
          <w:rFonts w:ascii="Times New Roman" w:hAnsi="Times New Roman" w:cs="Times New Roman"/>
        </w:rPr>
        <w:t xml:space="preserve">Subcommittee </w:t>
      </w:r>
      <w:r w:rsidRPr="0033397A">
        <w:rPr>
          <w:rFonts w:ascii="Times New Roman" w:hAnsi="Times New Roman" w:cs="Times New Roman"/>
        </w:rPr>
        <w:t>member Jennifer Ottesen</w:t>
      </w:r>
      <w:r w:rsidR="004430D8">
        <w:rPr>
          <w:rFonts w:ascii="Times New Roman" w:hAnsi="Times New Roman" w:cs="Times New Roman"/>
        </w:rPr>
        <w:t>.1</w:t>
      </w:r>
      <w:r w:rsidRPr="0033397A">
        <w:rPr>
          <w:rFonts w:ascii="Times New Roman" w:hAnsi="Times New Roman" w:cs="Times New Roman"/>
        </w:rPr>
        <w:t xml:space="preserve"> to discuss possible paths forward. </w:t>
      </w:r>
    </w:p>
    <w:p w14:paraId="4AD3A99E" w14:textId="6180558D" w:rsidR="0033397A" w:rsidRPr="0033397A" w:rsidRDefault="0033397A" w:rsidP="008D3719">
      <w:pPr>
        <w:pStyle w:val="ListParagraph"/>
        <w:numPr>
          <w:ilvl w:val="1"/>
          <w:numId w:val="2"/>
        </w:numPr>
        <w:rPr>
          <w:rFonts w:ascii="Times New Roman" w:hAnsi="Times New Roman" w:cs="Times New Roman"/>
        </w:rPr>
      </w:pPr>
      <w:r w:rsidRPr="0033397A">
        <w:rPr>
          <w:rFonts w:ascii="Times New Roman" w:hAnsi="Times New Roman" w:cs="Times New Roman"/>
        </w:rPr>
        <w:t xml:space="preserve">Declined to vote. </w:t>
      </w:r>
    </w:p>
    <w:p w14:paraId="4438A76C"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Entomology 2400E (new course requesting GEN Theme Health and Wellbeing) (note re: both courses: Entomology 2400H has existed since 2015 &amp; is a course with the GEL Natural Science-Biological Science; the dept will eventually withdraw the course; no need to ask for concurrence) (return)</w:t>
      </w:r>
    </w:p>
    <w:p w14:paraId="41E3C93A" w14:textId="77777777" w:rsidR="0033397A" w:rsidRPr="0033397A" w:rsidRDefault="0033397A" w:rsidP="0033397A">
      <w:pPr>
        <w:pStyle w:val="ListParagraph"/>
        <w:numPr>
          <w:ilvl w:val="1"/>
          <w:numId w:val="2"/>
        </w:numPr>
        <w:rPr>
          <w:rFonts w:ascii="Times New Roman" w:hAnsi="Times New Roman" w:cs="Times New Roman"/>
        </w:rPr>
      </w:pPr>
      <w:r w:rsidRPr="0033397A">
        <w:rPr>
          <w:rFonts w:ascii="Times New Roman" w:hAnsi="Times New Roman" w:cs="Times New Roman"/>
        </w:rPr>
        <w:t xml:space="preserve">The Subcommittee remains unconvinced that the course sufficiently addresses the Health and Wellbeing Theme. The topics cited in the cover letter (e.g., GMO insects) are not inherently aligned with the Theme but could be used as lenses through which students examine Health and Wellbeing if more explicitly articulated. The Subcommittee requests that the Theme be woven throughout the course topics, materials, and assignments, noting that the inclusion of health-related topics alone does not automatically establish alignment with the Health and Wellbeing Theme. </w:t>
      </w:r>
    </w:p>
    <w:p w14:paraId="5AAB8438" w14:textId="77777777" w:rsidR="0033397A" w:rsidRPr="0033397A" w:rsidRDefault="0033397A" w:rsidP="0033397A">
      <w:pPr>
        <w:pStyle w:val="ListParagraph"/>
        <w:numPr>
          <w:ilvl w:val="1"/>
          <w:numId w:val="2"/>
        </w:numPr>
        <w:rPr>
          <w:rFonts w:ascii="Times New Roman" w:hAnsi="Times New Roman" w:cs="Times New Roman"/>
        </w:rPr>
      </w:pPr>
      <w:r w:rsidRPr="0033397A">
        <w:rPr>
          <w:rFonts w:ascii="Times New Roman" w:hAnsi="Times New Roman" w:cs="Times New Roman"/>
        </w:rPr>
        <w:t>The Subcommittee finds that the course content remains largely foundational in scope and requests that the course be developed at a more advanced level overall, with greater depth and sustained thematic focus.</w:t>
      </w:r>
    </w:p>
    <w:p w14:paraId="00FC437F" w14:textId="77777777" w:rsidR="0033397A" w:rsidRPr="0033397A" w:rsidRDefault="0033397A" w:rsidP="0033397A">
      <w:pPr>
        <w:pStyle w:val="ListParagraph"/>
        <w:numPr>
          <w:ilvl w:val="1"/>
          <w:numId w:val="2"/>
        </w:numPr>
        <w:rPr>
          <w:rFonts w:ascii="Times New Roman" w:hAnsi="Times New Roman" w:cs="Times New Roman"/>
        </w:rPr>
      </w:pPr>
      <w:r w:rsidRPr="0033397A">
        <w:rPr>
          <w:rFonts w:ascii="Times New Roman" w:hAnsi="Times New Roman" w:cs="Times New Roman"/>
        </w:rPr>
        <w:t xml:space="preserve">The Subcommittee notes that the course, as currently structured, may be better suited to a different GEN Theme category. Given its emphasis on how scientific developments shape people’s lives, including societal responses to scientific and medical advances and tensions between political and  personal truth, the Subcommittee suggests that the department consider reworking the course for the Traditions, Cultures, and Transformations Theme. While this would still require substantial revisions, the Subcommittee requests that the department consult Subcommittee Chair Ila Nagar and Subcommittee member Jennifer Ottesen to discuss possible paths forward. </w:t>
      </w:r>
    </w:p>
    <w:p w14:paraId="2FEBC816" w14:textId="561E4FDA" w:rsidR="00A95B10" w:rsidRPr="0033397A" w:rsidRDefault="0033397A" w:rsidP="0033397A">
      <w:pPr>
        <w:pStyle w:val="ListParagraph"/>
        <w:numPr>
          <w:ilvl w:val="1"/>
          <w:numId w:val="2"/>
        </w:numPr>
        <w:rPr>
          <w:rFonts w:ascii="Times New Roman" w:hAnsi="Times New Roman" w:cs="Times New Roman"/>
        </w:rPr>
      </w:pPr>
      <w:r w:rsidRPr="0033397A">
        <w:rPr>
          <w:rFonts w:ascii="Times New Roman" w:hAnsi="Times New Roman" w:cs="Times New Roman"/>
        </w:rPr>
        <w:t xml:space="preserve">Declined to vote. </w:t>
      </w:r>
    </w:p>
    <w:p w14:paraId="4C7BABAE" w14:textId="77777777" w:rsidR="00A95B10" w:rsidRPr="0033397A" w:rsidRDefault="00A95B10" w:rsidP="00A95B10">
      <w:pPr>
        <w:pStyle w:val="ListParagraph"/>
        <w:numPr>
          <w:ilvl w:val="0"/>
          <w:numId w:val="2"/>
        </w:numPr>
        <w:rPr>
          <w:rFonts w:ascii="Times New Roman" w:hAnsi="Times New Roman" w:cs="Times New Roman"/>
        </w:rPr>
      </w:pPr>
      <w:r w:rsidRPr="0033397A">
        <w:rPr>
          <w:rFonts w:ascii="Times New Roman" w:hAnsi="Times New Roman" w:cs="Times New Roman"/>
        </w:rPr>
        <w:t>Pharmacy 3430S (existing course requesting GEN Theme Health and Wellbeing </w:t>
      </w:r>
      <w:r w:rsidRPr="0033397A">
        <w:rPr>
          <w:rFonts w:ascii="Times New Roman" w:hAnsi="Times New Roman" w:cs="Times New Roman"/>
          <w:b/>
          <w:bCs/>
        </w:rPr>
        <w:t>with Service-Learning High Impact Practice</w:t>
      </w:r>
      <w:r w:rsidRPr="0033397A">
        <w:rPr>
          <w:rFonts w:ascii="Times New Roman" w:hAnsi="Times New Roman" w:cs="Times New Roman"/>
        </w:rPr>
        <w:t>) (return)</w:t>
      </w:r>
    </w:p>
    <w:p w14:paraId="3DDAB260" w14:textId="4B5F1931" w:rsidR="00A95B10" w:rsidRPr="0033397A" w:rsidRDefault="00E51AC9" w:rsidP="00A95B10">
      <w:pPr>
        <w:pStyle w:val="ListParagraph"/>
        <w:numPr>
          <w:ilvl w:val="1"/>
          <w:numId w:val="2"/>
        </w:numPr>
        <w:rPr>
          <w:rFonts w:ascii="Times New Roman" w:hAnsi="Times New Roman" w:cs="Times New Roman"/>
        </w:rPr>
      </w:pPr>
      <w:r w:rsidRPr="0033397A">
        <w:rPr>
          <w:rFonts w:ascii="Times New Roman" w:hAnsi="Times New Roman" w:cs="Times New Roman"/>
        </w:rPr>
        <w:t>Her</w:t>
      </w:r>
      <w:r w:rsidR="006A23EA">
        <w:rPr>
          <w:rFonts w:ascii="Times New Roman" w:hAnsi="Times New Roman" w:cs="Times New Roman"/>
        </w:rPr>
        <w:t>r</w:t>
      </w:r>
      <w:r w:rsidRPr="0033397A">
        <w:rPr>
          <w:rFonts w:ascii="Times New Roman" w:hAnsi="Times New Roman" w:cs="Times New Roman"/>
        </w:rPr>
        <w:t>mann, Nagar; unanimously approve</w:t>
      </w:r>
      <w:r w:rsidR="006A23EA">
        <w:rPr>
          <w:rFonts w:ascii="Times New Roman" w:hAnsi="Times New Roman" w:cs="Times New Roman"/>
        </w:rPr>
        <w:t>d</w:t>
      </w:r>
      <w:r w:rsidRPr="0033397A">
        <w:rPr>
          <w:rFonts w:ascii="Times New Roman" w:hAnsi="Times New Roman" w:cs="Times New Roman"/>
        </w:rPr>
        <w:t xml:space="preserve">. </w:t>
      </w:r>
    </w:p>
    <w:p w14:paraId="3FC4AFE8" w14:textId="77777777" w:rsidR="00DE1ACD" w:rsidRPr="0033397A" w:rsidRDefault="00DE1ACD">
      <w:pPr>
        <w:rPr>
          <w:rFonts w:ascii="Times New Roman" w:hAnsi="Times New Roman" w:cs="Times New Roman"/>
        </w:rPr>
      </w:pPr>
    </w:p>
    <w:sectPr w:rsidR="00DE1ACD" w:rsidRPr="003339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DB5"/>
    <w:multiLevelType w:val="hybridMultilevel"/>
    <w:tmpl w:val="9DD204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A47102"/>
    <w:multiLevelType w:val="hybridMultilevel"/>
    <w:tmpl w:val="5F04B9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FAC685E"/>
    <w:multiLevelType w:val="multilevel"/>
    <w:tmpl w:val="4C085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3147254">
    <w:abstractNumId w:val="2"/>
  </w:num>
  <w:num w:numId="2" w16cid:durableId="1446927766">
    <w:abstractNumId w:val="1"/>
  </w:num>
  <w:num w:numId="3" w16cid:durableId="58401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10"/>
    <w:rsid w:val="0004267D"/>
    <w:rsid w:val="00073FDA"/>
    <w:rsid w:val="000D6125"/>
    <w:rsid w:val="000F11A7"/>
    <w:rsid w:val="00151963"/>
    <w:rsid w:val="0018588F"/>
    <w:rsid w:val="001B5266"/>
    <w:rsid w:val="001C6447"/>
    <w:rsid w:val="001E0617"/>
    <w:rsid w:val="0025419A"/>
    <w:rsid w:val="00291441"/>
    <w:rsid w:val="00326703"/>
    <w:rsid w:val="0033397A"/>
    <w:rsid w:val="0040338E"/>
    <w:rsid w:val="004430D8"/>
    <w:rsid w:val="004F72D6"/>
    <w:rsid w:val="00543F56"/>
    <w:rsid w:val="00601D71"/>
    <w:rsid w:val="006636AC"/>
    <w:rsid w:val="0069516B"/>
    <w:rsid w:val="006A23EA"/>
    <w:rsid w:val="007218C8"/>
    <w:rsid w:val="00752A7D"/>
    <w:rsid w:val="00803B49"/>
    <w:rsid w:val="00861CDB"/>
    <w:rsid w:val="008A30AD"/>
    <w:rsid w:val="008D3719"/>
    <w:rsid w:val="00951DA5"/>
    <w:rsid w:val="00995258"/>
    <w:rsid w:val="00A1369D"/>
    <w:rsid w:val="00A95B10"/>
    <w:rsid w:val="00AD6083"/>
    <w:rsid w:val="00B319D5"/>
    <w:rsid w:val="00BC4F7C"/>
    <w:rsid w:val="00BE3197"/>
    <w:rsid w:val="00C60335"/>
    <w:rsid w:val="00C74DC0"/>
    <w:rsid w:val="00C844F7"/>
    <w:rsid w:val="00D37F2D"/>
    <w:rsid w:val="00D60653"/>
    <w:rsid w:val="00D634DE"/>
    <w:rsid w:val="00DA4E23"/>
    <w:rsid w:val="00DB6DDD"/>
    <w:rsid w:val="00DD178C"/>
    <w:rsid w:val="00DE1ACD"/>
    <w:rsid w:val="00DF3CB8"/>
    <w:rsid w:val="00E51AC9"/>
    <w:rsid w:val="00E77F3D"/>
    <w:rsid w:val="00EB4EDA"/>
    <w:rsid w:val="00EB7425"/>
    <w:rsid w:val="00EC55FA"/>
    <w:rsid w:val="00EF4903"/>
    <w:rsid w:val="00F25701"/>
    <w:rsid w:val="00FF7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7B04"/>
  <w15:chartTrackingRefBased/>
  <w15:docId w15:val="{A2A939AA-D23C-496C-A30E-92D793F6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B10"/>
    <w:rPr>
      <w:rFonts w:eastAsiaTheme="majorEastAsia" w:cstheme="majorBidi"/>
      <w:color w:val="272727" w:themeColor="text1" w:themeTint="D8"/>
    </w:rPr>
  </w:style>
  <w:style w:type="paragraph" w:styleId="Title">
    <w:name w:val="Title"/>
    <w:basedOn w:val="Normal"/>
    <w:next w:val="Normal"/>
    <w:link w:val="TitleChar"/>
    <w:uiPriority w:val="10"/>
    <w:qFormat/>
    <w:rsid w:val="00A95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B10"/>
    <w:pPr>
      <w:spacing w:before="160"/>
      <w:jc w:val="center"/>
    </w:pPr>
    <w:rPr>
      <w:i/>
      <w:iCs/>
      <w:color w:val="404040" w:themeColor="text1" w:themeTint="BF"/>
    </w:rPr>
  </w:style>
  <w:style w:type="character" w:customStyle="1" w:styleId="QuoteChar">
    <w:name w:val="Quote Char"/>
    <w:basedOn w:val="DefaultParagraphFont"/>
    <w:link w:val="Quote"/>
    <w:uiPriority w:val="29"/>
    <w:rsid w:val="00A95B10"/>
    <w:rPr>
      <w:i/>
      <w:iCs/>
      <w:color w:val="404040" w:themeColor="text1" w:themeTint="BF"/>
    </w:rPr>
  </w:style>
  <w:style w:type="paragraph" w:styleId="ListParagraph">
    <w:name w:val="List Paragraph"/>
    <w:basedOn w:val="Normal"/>
    <w:uiPriority w:val="34"/>
    <w:qFormat/>
    <w:rsid w:val="00A95B10"/>
    <w:pPr>
      <w:ind w:left="720"/>
      <w:contextualSpacing/>
    </w:pPr>
  </w:style>
  <w:style w:type="character" w:styleId="IntenseEmphasis">
    <w:name w:val="Intense Emphasis"/>
    <w:basedOn w:val="DefaultParagraphFont"/>
    <w:uiPriority w:val="21"/>
    <w:qFormat/>
    <w:rsid w:val="00A95B10"/>
    <w:rPr>
      <w:i/>
      <w:iCs/>
      <w:color w:val="0F4761" w:themeColor="accent1" w:themeShade="BF"/>
    </w:rPr>
  </w:style>
  <w:style w:type="paragraph" w:styleId="IntenseQuote">
    <w:name w:val="Intense Quote"/>
    <w:basedOn w:val="Normal"/>
    <w:next w:val="Normal"/>
    <w:link w:val="IntenseQuoteChar"/>
    <w:uiPriority w:val="30"/>
    <w:qFormat/>
    <w:rsid w:val="00A95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B10"/>
    <w:rPr>
      <w:i/>
      <w:iCs/>
      <w:color w:val="0F4761" w:themeColor="accent1" w:themeShade="BF"/>
    </w:rPr>
  </w:style>
  <w:style w:type="character" w:styleId="IntenseReference">
    <w:name w:val="Intense Reference"/>
    <w:basedOn w:val="DefaultParagraphFont"/>
    <w:uiPriority w:val="32"/>
    <w:qFormat/>
    <w:rsid w:val="00A95B10"/>
    <w:rPr>
      <w:b/>
      <w:bCs/>
      <w:smallCaps/>
      <w:color w:val="0F4761" w:themeColor="accent1" w:themeShade="BF"/>
      <w:spacing w:val="5"/>
    </w:rPr>
  </w:style>
  <w:style w:type="paragraph" w:styleId="NormalWeb">
    <w:name w:val="Normal (Web)"/>
    <w:basedOn w:val="Normal"/>
    <w:uiPriority w:val="99"/>
    <w:semiHidden/>
    <w:unhideWhenUsed/>
    <w:rsid w:val="00A95B10"/>
    <w:rPr>
      <w:rFonts w:ascii="Times New Roman" w:hAnsi="Times New Roman" w:cs="Times New Roman"/>
    </w:rPr>
  </w:style>
  <w:style w:type="character" w:styleId="CommentReference">
    <w:name w:val="annotation reference"/>
    <w:basedOn w:val="DefaultParagraphFont"/>
    <w:uiPriority w:val="99"/>
    <w:semiHidden/>
    <w:unhideWhenUsed/>
    <w:rsid w:val="004F72D6"/>
    <w:rPr>
      <w:sz w:val="16"/>
      <w:szCs w:val="16"/>
    </w:rPr>
  </w:style>
  <w:style w:type="paragraph" w:styleId="CommentText">
    <w:name w:val="annotation text"/>
    <w:basedOn w:val="Normal"/>
    <w:link w:val="CommentTextChar"/>
    <w:uiPriority w:val="99"/>
    <w:unhideWhenUsed/>
    <w:rsid w:val="004F72D6"/>
    <w:pPr>
      <w:spacing w:line="240" w:lineRule="auto"/>
    </w:pPr>
    <w:rPr>
      <w:sz w:val="20"/>
      <w:szCs w:val="20"/>
    </w:rPr>
  </w:style>
  <w:style w:type="character" w:customStyle="1" w:styleId="CommentTextChar">
    <w:name w:val="Comment Text Char"/>
    <w:basedOn w:val="DefaultParagraphFont"/>
    <w:link w:val="CommentText"/>
    <w:uiPriority w:val="99"/>
    <w:rsid w:val="004F72D6"/>
    <w:rPr>
      <w:sz w:val="20"/>
      <w:szCs w:val="20"/>
    </w:rPr>
  </w:style>
  <w:style w:type="paragraph" w:styleId="CommentSubject">
    <w:name w:val="annotation subject"/>
    <w:basedOn w:val="CommentText"/>
    <w:next w:val="CommentText"/>
    <w:link w:val="CommentSubjectChar"/>
    <w:uiPriority w:val="99"/>
    <w:semiHidden/>
    <w:unhideWhenUsed/>
    <w:rsid w:val="004F72D6"/>
    <w:rPr>
      <w:b/>
      <w:bCs/>
    </w:rPr>
  </w:style>
  <w:style w:type="character" w:customStyle="1" w:styleId="CommentSubjectChar">
    <w:name w:val="Comment Subject Char"/>
    <w:basedOn w:val="CommentTextChar"/>
    <w:link w:val="CommentSubject"/>
    <w:uiPriority w:val="99"/>
    <w:semiHidden/>
    <w:rsid w:val="004F72D6"/>
    <w:rPr>
      <w:b/>
      <w:bCs/>
      <w:sz w:val="20"/>
      <w:szCs w:val="20"/>
    </w:rPr>
  </w:style>
  <w:style w:type="paragraph" w:styleId="Revision">
    <w:name w:val="Revision"/>
    <w:hidden/>
    <w:uiPriority w:val="99"/>
    <w:semiHidden/>
    <w:rsid w:val="004F7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1361</Words>
  <Characters>8060</Characters>
  <Application>Microsoft Office Word</Application>
  <DocSecurity>0</DocSecurity>
  <Lines>146</Lines>
  <Paragraphs>53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Neff, Jennifer</cp:lastModifiedBy>
  <cp:revision>5</cp:revision>
  <dcterms:created xsi:type="dcterms:W3CDTF">2025-12-23T16:31:00Z</dcterms:created>
  <dcterms:modified xsi:type="dcterms:W3CDTF">2025-12-23T17:14:00Z</dcterms:modified>
</cp:coreProperties>
</file>